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C60" w:rsidRDefault="00230C60" w:rsidP="00230C60">
      <w:pPr>
        <w:pStyle w:val="1"/>
      </w:pPr>
      <w:r>
        <w:t>(616-44-1)3-甲基噻吩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230C6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标</w:t>
            </w:r>
          </w:p>
          <w:p w:rsidR="00230C60" w:rsidRDefault="00230C60" w:rsidP="0090435F">
            <w:pPr>
              <w:spacing w:line="266"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中文名：</w:t>
            </w:r>
            <w:r>
              <w:rPr>
                <w:rFonts w:ascii="宋体" w:hAnsi="宋体" w:hint="eastAsia"/>
                <w:szCs w:val="18"/>
              </w:rPr>
              <w:t>3-甲基噻吩  </w:t>
            </w:r>
            <w:r>
              <w:rPr>
                <w:rFonts w:ascii="宋体" w:hAnsi="宋体" w:hint="eastAsia"/>
              </w:rPr>
              <w:t>；</w:t>
            </w:r>
            <w:r>
              <w:rPr>
                <w:rFonts w:ascii="宋体" w:hAnsi="宋体" w:hint="eastAsia"/>
                <w:szCs w:val="18"/>
              </w:rPr>
              <w:t>甲基硫茂</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3-methylthiophene </w:t>
            </w:r>
          </w:p>
        </w:tc>
      </w:tr>
      <w:tr w:rsidR="00230C60" w:rsidTr="0090435F">
        <w:trPr>
          <w:cantSplit/>
          <w:jc w:val="center"/>
        </w:trPr>
        <w:tc>
          <w:tcPr>
            <w:tcW w:w="489" w:type="dxa"/>
            <w:vMerge/>
            <w:tcBorders>
              <w:left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6</w:t>
            </w:r>
            <w:r>
              <w:rPr>
                <w:rFonts w:ascii="宋体" w:hAnsi="宋体" w:hint="eastAsia"/>
                <w:szCs w:val="18"/>
              </w:rPr>
              <w:t>S</w:t>
            </w:r>
          </w:p>
        </w:tc>
        <w:tc>
          <w:tcPr>
            <w:tcW w:w="2906"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color w:val="FF6600"/>
              </w:rPr>
            </w:pPr>
            <w:r>
              <w:rPr>
                <w:rFonts w:ascii="宋体" w:hAnsi="宋体" w:hint="eastAsia"/>
              </w:rPr>
              <w:t>分子量：98.17</w:t>
            </w:r>
          </w:p>
        </w:tc>
        <w:tc>
          <w:tcPr>
            <w:tcW w:w="2170"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UN编号：</w:t>
            </w:r>
          </w:p>
        </w:tc>
      </w:tr>
      <w:tr w:rsidR="00230C60" w:rsidTr="0090435F">
        <w:trPr>
          <w:cantSplit/>
          <w:jc w:val="center"/>
        </w:trPr>
        <w:tc>
          <w:tcPr>
            <w:tcW w:w="489" w:type="dxa"/>
            <w:vMerge/>
            <w:tcBorders>
              <w:left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危险类别：第3.2类中闪点易燃液体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危规号： 32112</w:t>
            </w:r>
          </w:p>
        </w:tc>
        <w:tc>
          <w:tcPr>
            <w:tcW w:w="2170"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CAS号：616-44-1</w:t>
            </w:r>
          </w:p>
        </w:tc>
      </w:tr>
      <w:tr w:rsidR="00230C60" w:rsidTr="0090435F">
        <w:trPr>
          <w:cantSplit/>
          <w:jc w:val="center"/>
        </w:trPr>
        <w:tc>
          <w:tcPr>
            <w:tcW w:w="489" w:type="dxa"/>
            <w:vMerge/>
            <w:tcBorders>
              <w:left w:val="single" w:sz="4" w:space="0" w:color="auto"/>
              <w:bottom w:val="nil"/>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包装标志：易燃液体</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包装类别：Ⅱ类</w:t>
            </w:r>
          </w:p>
        </w:tc>
      </w:tr>
      <w:tr w:rsidR="00230C6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理</w:t>
            </w:r>
          </w:p>
          <w:p w:rsidR="00230C60" w:rsidRDefault="00230C60" w:rsidP="0090435F">
            <w:pPr>
              <w:spacing w:line="266" w:lineRule="exact"/>
              <w:rPr>
                <w:rFonts w:ascii="宋体" w:hAnsi="宋体"/>
              </w:rPr>
            </w:pPr>
            <w:r>
              <w:rPr>
                <w:rFonts w:ascii="宋体" w:hAnsi="宋体" w:hint="eastAsia"/>
              </w:rPr>
              <w:t>化</w:t>
            </w:r>
          </w:p>
          <w:p w:rsidR="00230C60" w:rsidRDefault="00230C60" w:rsidP="0090435F">
            <w:pPr>
              <w:spacing w:line="266" w:lineRule="exact"/>
              <w:rPr>
                <w:rFonts w:ascii="宋体" w:hAnsi="宋体"/>
              </w:rPr>
            </w:pPr>
            <w:r>
              <w:rPr>
                <w:rFonts w:ascii="宋体" w:hAnsi="宋体" w:hint="eastAsia"/>
              </w:rPr>
              <w:t>性</w:t>
            </w:r>
          </w:p>
          <w:p w:rsidR="00230C60" w:rsidRDefault="00230C60" w:rsidP="0090435F">
            <w:pPr>
              <w:spacing w:line="26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外观与性状：</w:t>
            </w:r>
            <w:r>
              <w:rPr>
                <w:rFonts w:ascii="_x000B__x000C_" w:hAnsi="_x000B__x000C_" w:hint="eastAsia"/>
                <w:szCs w:val="18"/>
              </w:rPr>
              <w:t>无色油状液体。</w:t>
            </w:r>
          </w:p>
        </w:tc>
      </w:tr>
      <w:tr w:rsidR="00230C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溶解性：</w:t>
            </w:r>
            <w:r>
              <w:rPr>
                <w:rFonts w:ascii="_x000B__x000C_" w:hAnsi="_x000B__x000C_" w:hint="eastAsia"/>
                <w:szCs w:val="18"/>
              </w:rPr>
              <w:t>不溶于水，可混溶于乙醇、乙醚、苯、丙酮、氯仿。</w:t>
            </w:r>
          </w:p>
        </w:tc>
      </w:tr>
      <w:tr w:rsidR="00230C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熔点（℃）：-69</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沸点（℃）：</w:t>
            </w:r>
            <w:r>
              <w:rPr>
                <w:rFonts w:ascii="宋体" w:hAnsi="宋体" w:hint="eastAsia"/>
                <w:szCs w:val="18"/>
              </w:rPr>
              <w:t>115.4</w:t>
            </w:r>
          </w:p>
        </w:tc>
      </w:tr>
      <w:tr w:rsidR="00230C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相对密度（水＝1）：1.02</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相对密度（空气＝1）：无资料</w:t>
            </w:r>
          </w:p>
        </w:tc>
      </w:tr>
      <w:tr w:rsidR="00230C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rPr>
              <w:t>1.33(9.1℃)</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燃烧热（kJ/mol）：无资料</w:t>
            </w:r>
          </w:p>
        </w:tc>
      </w:tr>
      <w:tr w:rsidR="00230C6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临界温度（℃）：无资料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临界压力（MPa）：无资料</w:t>
            </w:r>
          </w:p>
        </w:tc>
      </w:tr>
      <w:tr w:rsidR="00230C6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燃</w:t>
            </w:r>
          </w:p>
          <w:p w:rsidR="00230C60" w:rsidRDefault="00230C60" w:rsidP="0090435F">
            <w:pPr>
              <w:spacing w:line="266" w:lineRule="exact"/>
              <w:rPr>
                <w:rFonts w:ascii="宋体" w:hAnsi="宋体"/>
              </w:rPr>
            </w:pPr>
            <w:r>
              <w:rPr>
                <w:rFonts w:ascii="宋体" w:hAnsi="宋体" w:hint="eastAsia"/>
              </w:rPr>
              <w:t>烧</w:t>
            </w:r>
          </w:p>
          <w:p w:rsidR="00230C60" w:rsidRDefault="00230C60" w:rsidP="0090435F">
            <w:pPr>
              <w:spacing w:line="266" w:lineRule="exact"/>
              <w:rPr>
                <w:rFonts w:ascii="宋体" w:hAnsi="宋体"/>
              </w:rPr>
            </w:pPr>
            <w:r>
              <w:rPr>
                <w:rFonts w:ascii="宋体" w:hAnsi="宋体" w:hint="eastAsia"/>
              </w:rPr>
              <w:t>爆</w:t>
            </w:r>
          </w:p>
          <w:p w:rsidR="00230C60" w:rsidRDefault="00230C60" w:rsidP="0090435F">
            <w:pPr>
              <w:spacing w:line="266" w:lineRule="exact"/>
              <w:rPr>
                <w:rFonts w:ascii="宋体" w:hAnsi="宋体"/>
              </w:rPr>
            </w:pPr>
            <w:r>
              <w:rPr>
                <w:rFonts w:ascii="宋体" w:hAnsi="宋体" w:hint="eastAsia"/>
              </w:rPr>
              <w:t>炸</w:t>
            </w:r>
          </w:p>
          <w:p w:rsidR="00230C60" w:rsidRDefault="00230C60" w:rsidP="0090435F">
            <w:pPr>
              <w:spacing w:line="266" w:lineRule="exact"/>
              <w:rPr>
                <w:rFonts w:ascii="宋体" w:hAnsi="宋体"/>
              </w:rPr>
            </w:pPr>
            <w:r>
              <w:rPr>
                <w:rFonts w:ascii="宋体" w:hAnsi="宋体" w:hint="eastAsia"/>
              </w:rPr>
              <w:t>危</w:t>
            </w:r>
          </w:p>
          <w:p w:rsidR="00230C60" w:rsidRDefault="00230C60" w:rsidP="0090435F">
            <w:pPr>
              <w:spacing w:line="266" w:lineRule="exact"/>
              <w:rPr>
                <w:rFonts w:ascii="宋体" w:hAnsi="宋体"/>
              </w:rPr>
            </w:pPr>
            <w:r>
              <w:rPr>
                <w:rFonts w:ascii="宋体" w:hAnsi="宋体" w:hint="eastAsia"/>
              </w:rPr>
              <w:t>险</w:t>
            </w:r>
          </w:p>
          <w:p w:rsidR="00230C60" w:rsidRDefault="00230C60" w:rsidP="0090435F">
            <w:pPr>
              <w:spacing w:line="266"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闪点（℃）：11</w:t>
            </w:r>
          </w:p>
        </w:tc>
      </w:tr>
      <w:tr w:rsidR="00230C60" w:rsidTr="0090435F">
        <w:trPr>
          <w:cantSplit/>
          <w:jc w:val="center"/>
        </w:trPr>
        <w:tc>
          <w:tcPr>
            <w:tcW w:w="489" w:type="dxa"/>
            <w:vMerge/>
            <w:tcBorders>
              <w:top w:val="single" w:sz="4" w:space="0" w:color="auto"/>
              <w:left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vertAlign w:val="superscript"/>
              </w:rPr>
            </w:pPr>
            <w:r>
              <w:rPr>
                <w:rFonts w:ascii="宋体" w:hAnsi="宋体" w:hint="eastAsia"/>
              </w:rPr>
              <w:t>爆炸下限（%）：无资料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爆炸上限（%）：无资料</w:t>
            </w:r>
          </w:p>
        </w:tc>
      </w:tr>
      <w:tr w:rsidR="00230C60" w:rsidTr="0090435F">
        <w:trPr>
          <w:cantSplit/>
          <w:jc w:val="center"/>
        </w:trPr>
        <w:tc>
          <w:tcPr>
            <w:tcW w:w="489" w:type="dxa"/>
            <w:vMerge/>
            <w:tcBorders>
              <w:top w:val="single" w:sz="4" w:space="0" w:color="auto"/>
              <w:left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引燃温度（℃）：无资料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最小点火能（mJ）：无资料</w:t>
            </w:r>
          </w:p>
        </w:tc>
      </w:tr>
      <w:tr w:rsidR="00230C60" w:rsidTr="0090435F">
        <w:trPr>
          <w:cantSplit/>
          <w:jc w:val="center"/>
        </w:trPr>
        <w:tc>
          <w:tcPr>
            <w:tcW w:w="489" w:type="dxa"/>
            <w:vMerge/>
            <w:tcBorders>
              <w:left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稳定性：稳定</w:t>
            </w:r>
          </w:p>
        </w:tc>
      </w:tr>
      <w:tr w:rsidR="00230C60" w:rsidTr="0090435F">
        <w:trPr>
          <w:cantSplit/>
          <w:jc w:val="center"/>
        </w:trPr>
        <w:tc>
          <w:tcPr>
            <w:tcW w:w="489" w:type="dxa"/>
            <w:vMerge/>
            <w:tcBorders>
              <w:left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聚合危害：聚合</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一氧化碳、二氧化碳、硫化氢、氧化硫。</w:t>
            </w:r>
          </w:p>
        </w:tc>
      </w:tr>
      <w:tr w:rsidR="00230C60" w:rsidTr="0090435F">
        <w:trPr>
          <w:cantSplit/>
          <w:jc w:val="center"/>
        </w:trPr>
        <w:tc>
          <w:tcPr>
            <w:tcW w:w="489" w:type="dxa"/>
            <w:vMerge/>
            <w:tcBorders>
              <w:left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 xml:space="preserve">避免接触的条件：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_x000B__x000C_" w:hAnsi="_x000B__x000C_"/>
                <w:szCs w:val="18"/>
              </w:rPr>
            </w:pPr>
            <w:r>
              <w:rPr>
                <w:rFonts w:ascii="_x000B__x000C_" w:hAnsi="_x000B__x000C_" w:hint="eastAsia"/>
                <w:szCs w:val="18"/>
              </w:rPr>
              <w:t>禁忌物：强氧化剂、强碱。</w:t>
            </w:r>
          </w:p>
        </w:tc>
      </w:tr>
      <w:tr w:rsidR="00230C60" w:rsidTr="0090435F">
        <w:trPr>
          <w:cantSplit/>
          <w:jc w:val="center"/>
        </w:trPr>
        <w:tc>
          <w:tcPr>
            <w:tcW w:w="489" w:type="dxa"/>
            <w:vMerge/>
            <w:tcBorders>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其蒸气与空气可形成爆炸性混合物，遇明火、高热极易燃烧爆炸。与氧化剂接触猛烈反应。受高热分解产生有毒的硫化物烟气。流速过快，容易产生和积聚静电。若遇高热，容器内压增大，有开裂和爆炸的危险。</w:t>
            </w:r>
          </w:p>
        </w:tc>
      </w:tr>
      <w:tr w:rsidR="00230C60" w:rsidTr="0090435F">
        <w:trPr>
          <w:cantSplit/>
          <w:jc w:val="center"/>
        </w:trPr>
        <w:tc>
          <w:tcPr>
            <w:tcW w:w="489" w:type="dxa"/>
            <w:vMerge/>
            <w:tcBorders>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szCs w:val="18"/>
              </w:rPr>
            </w:pPr>
            <w:r>
              <w:rPr>
                <w:rFonts w:ascii="宋体" w:hAnsi="宋体" w:hint="eastAsia"/>
                <w:szCs w:val="18"/>
              </w:rPr>
              <w:t>灭火方法：</w:t>
            </w:r>
            <w:r>
              <w:rPr>
                <w:rFonts w:ascii="_x000B__x000C_" w:hAnsi="_x000B__x000C_"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230C6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毒</w:t>
            </w:r>
          </w:p>
          <w:p w:rsidR="00230C60" w:rsidRDefault="00230C60" w:rsidP="0090435F">
            <w:pPr>
              <w:spacing w:line="26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1800 mg/kg(小鼠经口)</w:t>
            </w:r>
          </w:p>
          <w:p w:rsidR="00230C60" w:rsidRDefault="00230C60"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18000mg/m3，2小时(小鼠吸入)</w:t>
            </w:r>
          </w:p>
        </w:tc>
      </w:tr>
      <w:tr w:rsidR="00230C6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侵入途经：吸入、食入、经皮吸收。</w:t>
            </w:r>
          </w:p>
        </w:tc>
      </w:tr>
      <w:tr w:rsidR="00230C60" w:rsidTr="0090435F">
        <w:trPr>
          <w:cantSplit/>
          <w:jc w:val="center"/>
        </w:trPr>
        <w:tc>
          <w:tcPr>
            <w:tcW w:w="489" w:type="dxa"/>
            <w:vMerge/>
            <w:tcBorders>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szCs w:val="18"/>
              </w:rPr>
              <w:t>本品具有刺激性。接触后能引起头痛、恶心、呕吐。</w:t>
            </w:r>
          </w:p>
        </w:tc>
      </w:tr>
      <w:tr w:rsidR="00230C60" w:rsidTr="0090435F">
        <w:trPr>
          <w:cantSplit/>
          <w:jc w:val="center"/>
        </w:trPr>
        <w:tc>
          <w:tcPr>
            <w:tcW w:w="489" w:type="dxa"/>
            <w:tcBorders>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急</w:t>
            </w:r>
          </w:p>
          <w:p w:rsidR="00230C60" w:rsidRDefault="00230C60" w:rsidP="0090435F">
            <w:pPr>
              <w:spacing w:line="26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szCs w:val="18"/>
              </w:rPr>
            </w:pPr>
            <w:r>
              <w:rPr>
                <w:rFonts w:ascii="宋体" w:hAnsi="宋体" w:hint="eastAsia"/>
                <w:szCs w:val="18"/>
              </w:rPr>
              <w:t>皮肤接触：脱去污染的衣着，用流动清水冲洗。  ※眼睛接触：提起眼睑，用流动清水或生理盐水冲洗。就医。   ※吸入: 脱离现场至空气新鲜处。如呼吸困难，给输氧。就医。   ※食入: 饮足量温水，催吐。就医。</w:t>
            </w:r>
          </w:p>
        </w:tc>
      </w:tr>
      <w:tr w:rsidR="00230C6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防</w:t>
            </w:r>
          </w:p>
          <w:p w:rsidR="00230C60" w:rsidRDefault="00230C60" w:rsidP="0090435F">
            <w:pPr>
              <w:spacing w:line="26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szCs w:val="18"/>
              </w:rPr>
            </w:pPr>
            <w:r>
              <w:rPr>
                <w:rFonts w:ascii="宋体" w:hAnsi="宋体" w:hint="eastAsia"/>
                <w:szCs w:val="18"/>
              </w:rPr>
              <w:t>工程控制：密闭操作，局部排风。提供安全淋浴和洗眼设备。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※其它：工作现场严禁吸烟。工作完毕，淋浴更衣。注意个人清洁卫生。 </w:t>
            </w:r>
          </w:p>
        </w:tc>
      </w:tr>
      <w:tr w:rsidR="00230C6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泄</w:t>
            </w:r>
          </w:p>
          <w:p w:rsidR="00230C60" w:rsidRDefault="00230C60" w:rsidP="0090435F">
            <w:pPr>
              <w:spacing w:line="266" w:lineRule="exact"/>
              <w:rPr>
                <w:rFonts w:ascii="宋体" w:hAnsi="宋体"/>
              </w:rPr>
            </w:pPr>
            <w:r>
              <w:rPr>
                <w:rFonts w:ascii="宋体" w:hAnsi="宋体" w:hint="eastAsia"/>
              </w:rPr>
              <w:t>漏</w:t>
            </w:r>
          </w:p>
          <w:p w:rsidR="00230C60" w:rsidRDefault="00230C60" w:rsidP="0090435F">
            <w:pPr>
              <w:spacing w:line="266" w:lineRule="exact"/>
              <w:rPr>
                <w:rFonts w:ascii="宋体" w:hAnsi="宋体"/>
              </w:rPr>
            </w:pPr>
            <w:r>
              <w:rPr>
                <w:rFonts w:ascii="宋体" w:hAnsi="宋体" w:hint="eastAsia"/>
              </w:rPr>
              <w:t>处</w:t>
            </w:r>
          </w:p>
          <w:p w:rsidR="00230C60" w:rsidRDefault="00230C60" w:rsidP="0090435F">
            <w:pPr>
              <w:spacing w:line="26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30C60" w:rsidRDefault="00230C60"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泵转移至槽车或专用收集器内，回收或运至废物处理场所处置。</w:t>
            </w:r>
          </w:p>
        </w:tc>
      </w:tr>
      <w:tr w:rsidR="00230C60" w:rsidTr="0090435F">
        <w:trPr>
          <w:cantSplit/>
          <w:jc w:val="center"/>
        </w:trPr>
        <w:tc>
          <w:tcPr>
            <w:tcW w:w="489" w:type="dxa"/>
            <w:tcBorders>
              <w:top w:val="single" w:sz="4" w:space="0" w:color="auto"/>
              <w:left w:val="single" w:sz="4" w:space="0" w:color="auto"/>
              <w:right w:val="single" w:sz="4" w:space="0" w:color="auto"/>
            </w:tcBorders>
            <w:vAlign w:val="center"/>
          </w:tcPr>
          <w:p w:rsidR="00230C60" w:rsidRDefault="00230C60" w:rsidP="0090435F">
            <w:pPr>
              <w:spacing w:line="266" w:lineRule="exact"/>
              <w:rPr>
                <w:rFonts w:ascii="宋体" w:hAnsi="宋体"/>
              </w:rPr>
            </w:pPr>
            <w:r>
              <w:rPr>
                <w:rFonts w:ascii="宋体" w:hAnsi="宋体" w:hint="eastAsia"/>
              </w:rPr>
              <w:t>储</w:t>
            </w:r>
          </w:p>
          <w:p w:rsidR="00230C60" w:rsidRDefault="00230C60" w:rsidP="0090435F">
            <w:pPr>
              <w:spacing w:line="26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230C60" w:rsidRDefault="00230C60" w:rsidP="0090435F">
            <w:pPr>
              <w:spacing w:line="266" w:lineRule="exact"/>
              <w:rPr>
                <w:rFonts w:ascii="宋体" w:hAnsi="宋体"/>
                <w:szCs w:val="18"/>
              </w:rPr>
            </w:pPr>
            <w:r>
              <w:rPr>
                <w:rFonts w:ascii="宋体" w:hAnsi="宋体" w:hint="eastAsia"/>
                <w:szCs w:val="18"/>
              </w:rPr>
              <w:t>储存于阴凉、通风的库房。远离火种、热源。库温不宜超过30℃。应与氧化剂、碱类、食用化学品分开存放，切忌混储。采用防爆型照明、通风设施。禁止使用易产生火花的机械设备和工具。储区应备有泄漏应急处理设备和合适的收容材料。</w:t>
            </w:r>
          </w:p>
          <w:p w:rsidR="00230C60" w:rsidRDefault="00230C60"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碱类、食用化学品等混装混运。运输途中应防曝晒、雨淋，防高温。中途停留时应远离火种、热源、高温区。装运该物品的车辆排气管必须配备阻火装置，禁止使用易产生火花的机械设备和工具装卸。公路运输时要按规定路线行驶。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C60"/>
    <w:rsid w:val="00230C6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5EE1A-75F8-4819-94EC-9F018CCC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30C6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30C6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Company>zyhq</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